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рабочих программах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рабочих программах 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школа), разрабатываемых в соответствии с федеральными образовательными программами 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286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НОО-2021);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ООО-2021);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06.10.2009 № 373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НОО);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17.12.2010 № 1897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ООО);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17.05.2012 № 413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ФГОС СОО);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начального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16.11.2022 № 992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основного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16.11.2022 № 993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среднего общего образования, утв.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23.11.2022 № 1014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Структура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Структура рабочей программы определяется Положением с учетом требований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 ФОП НОО, ФОП ООО, ФОП СОО, локальных нормативных актов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Обязательные компоненты рабочей программы: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 указывается в тематическом планировании 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Рабочие программы учебных курсов внеурочной деятельности также должны содержать указание: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форму проведения занятий – для 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форму организации и виды деятельности – 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ФГОС ООО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разделе кратко фиксируются: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Раздел, посвященный содержанию учебного предмета, курса, модуля включает: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Раздел, посвященный тематическому планированию, оформляется в виде таблицы, состоящей из следующих граф: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тем, планируемых для освоения учащимися;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академических часов, отводимых на освоение каждой темы;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для рабочих программ, разрабатываемых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ФГОС НОО-2021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ФГОС ООО-2021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02.08.2022 № 653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2.8. Рабочие программы формируются с учетом рабочей программы воспитания. Чтобы это отразить автор рабочей программы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разработки и утверждения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Рабочая программа разрабатывается педагогическим работником в соответствии с его компетенцией.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по учебному предмету разрабатывается на учебный год;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разрабатывается на период реализации ООП;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Оформление и хранение рабочей программы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Рабочая программа оформляется в электронном варианте.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Текст рабочей программы форматируется в редакторе Word шрифтом Times New Roman, кегль 12-14, межстрочный интервал одинарный, выровненный по ширине, поля со всех сторон 1-3 см.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Файл с рабочей программой хранится в папке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Разработчик рабочей программы готовит в электронном виде аннотацию для сайта школы, в которой указывает: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название рабочей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 характеристику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срок, на который разработана рабочая программа;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приложений к рабочей программе.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внесения изменений в рабочую программу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49386591b504f4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