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разработке программы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 области энергосбережения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и повышения энергетической эффективности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основании статьи </w:t>
      </w:r>
      <w:r>
        <w:rPr>
          <w:rFonts w:hAnsi="Times New Roman" w:cs="Times New Roman"/>
          <w:color w:val="000000"/>
          <w:sz w:val="24"/>
          <w:szCs w:val="24"/>
        </w:rPr>
        <w:t>части 3</w:t>
      </w:r>
      <w:r>
        <w:rPr>
          <w:rFonts w:hAnsi="Times New Roman" w:cs="Times New Roman"/>
          <w:color w:val="000000"/>
          <w:sz w:val="24"/>
          <w:szCs w:val="24"/>
        </w:rPr>
        <w:t xml:space="preserve"> статьи 23, </w:t>
      </w:r>
      <w:r>
        <w:rPr>
          <w:rFonts w:hAnsi="Times New Roman" w:cs="Times New Roman"/>
          <w:color w:val="000000"/>
          <w:sz w:val="24"/>
          <w:szCs w:val="24"/>
        </w:rPr>
        <w:t>части 1</w:t>
      </w:r>
      <w:r>
        <w:rPr>
          <w:rFonts w:hAnsi="Times New Roman" w:cs="Times New Roman"/>
          <w:color w:val="000000"/>
          <w:sz w:val="24"/>
          <w:szCs w:val="24"/>
        </w:rPr>
        <w:t xml:space="preserve"> статьи 24, </w:t>
      </w:r>
      <w:r>
        <w:rPr>
          <w:rFonts w:hAnsi="Times New Roman" w:cs="Times New Roman"/>
          <w:color w:val="000000"/>
          <w:sz w:val="24"/>
          <w:szCs w:val="24"/>
        </w:rPr>
        <w:t>части 1</w:t>
      </w:r>
      <w:r>
        <w:rPr>
          <w:rFonts w:hAnsi="Times New Roman" w:cs="Times New Roman"/>
          <w:color w:val="000000"/>
          <w:sz w:val="24"/>
          <w:szCs w:val="24"/>
        </w:rPr>
        <w:t xml:space="preserve"> статьи 25 Федерального закона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постановления Правительства РФ от 07.10.2019 № 1289</w:t>
      </w:r>
      <w:r>
        <w:rPr>
          <w:rFonts w:hAnsi="Times New Roman" w:cs="Times New Roman"/>
          <w:color w:val="000000"/>
          <w:sz w:val="24"/>
          <w:szCs w:val="24"/>
        </w:rPr>
        <w:t xml:space="preserve"> «О требованиях к снижению государственными (муниципальными) учреждениями в сопоставимых условиях суммарного объема потребляемых ими дизельного и иного топлива, мазута, природного газа, тепловой энергии, электрической энергии, угля, а также объема потребляемой ими воды»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Создать рабочую группу по разработке программы в области энергосбережения и повышения энергетической эффективности 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рабочая группа) в следующем составе: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рабочей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рабочей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Рабочей группе разработать проект программы в области энергосбережения и повышения энергетической эффективности 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на 202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–202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 годы по графику (</w:t>
      </w: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с настоящим приказом поименованных в нем работников под подпись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за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График разработки программы в области энергосбережения и повышения энергетической эффективности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на 202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–202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Оперативное совещание: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обсудить содержание программы в области энергосбережения и повышения энергетической эффективности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на 202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–202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(далее – программа);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определить перечень документов, которые необходимо собрать для подготовки программы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9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Собрать исходные документы: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декларация о потреблении энергетических ресурсов за 202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Организационные мероприятия: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обследование всех зданий и коммунальных сетей;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установить причины энергопотерь и факторы, препятствующие повышению энергоэффективности;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определить потенциал и резерв энергосбережения;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определить финансовое обеспечение программы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Изучить установленные главным распорядителем бюджетных средств образовательной организации (далее – ГРБС) значения ЦУС и нормативные правовые акты, являющиеся основаниям для разработки программы. На основании этих данных разработать проект программы: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паспорт программы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паспорт программы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раздел «Сведения о целевых показателях программы»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раздел «Перечень мероприятий программы»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программы (подготовка титульного листа, нумерация, сшивание, оформление заверительной наклейки и т.д.)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Доработка проекта программы и повторное согласование (по необходимости)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Утверждение программы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731240416f244e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